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1221DF" w:rsidRPr="001221DF" w:rsidTr="002E6A50">
        <w:tc>
          <w:tcPr>
            <w:tcW w:w="5495" w:type="dxa"/>
          </w:tcPr>
          <w:p w:rsidR="001221DF" w:rsidRPr="001221DF" w:rsidRDefault="001221DF" w:rsidP="001221DF">
            <w:pPr>
              <w:widowControl w:val="0"/>
              <w:autoSpaceDE w:val="0"/>
              <w:autoSpaceDN w:val="0"/>
              <w:spacing w:after="0" w:line="240" w:lineRule="auto"/>
              <w:ind w:right="397"/>
              <w:jc w:val="both"/>
              <w:rPr>
                <w:rFonts w:ascii="Arial" w:eastAsia="Times New Roman" w:hAnsi="Arial" w:cs="Arial"/>
                <w:b/>
                <w:bCs/>
                <w:sz w:val="24"/>
                <w:szCs w:val="24"/>
              </w:rPr>
            </w:pPr>
            <w:r w:rsidRPr="001221DF">
              <w:rPr>
                <w:rFonts w:ascii="Arial" w:eastAsia="Times New Roman" w:hAnsi="Arial" w:cs="Arial"/>
                <w:b/>
                <w:sz w:val="24"/>
                <w:szCs w:val="24"/>
              </w:rPr>
              <w:t>EAST AREA PLANNING COMMITTEE</w:t>
            </w:r>
          </w:p>
        </w:tc>
        <w:tc>
          <w:tcPr>
            <w:tcW w:w="3793" w:type="dxa"/>
          </w:tcPr>
          <w:p w:rsidR="001221DF" w:rsidRPr="001221DF" w:rsidRDefault="001221DF" w:rsidP="001221DF">
            <w:pPr>
              <w:widowControl w:val="0"/>
              <w:autoSpaceDE w:val="0"/>
              <w:autoSpaceDN w:val="0"/>
              <w:spacing w:after="0" w:line="240" w:lineRule="auto"/>
              <w:ind w:right="397"/>
              <w:jc w:val="right"/>
              <w:rPr>
                <w:rFonts w:ascii="Arial" w:eastAsia="Times New Roman" w:hAnsi="Arial" w:cs="Arial"/>
                <w:sz w:val="24"/>
                <w:szCs w:val="24"/>
              </w:rPr>
            </w:pPr>
            <w:r w:rsidRPr="001221DF">
              <w:rPr>
                <w:rFonts w:ascii="Arial" w:eastAsia="Times New Roman" w:hAnsi="Arial" w:cs="Arial"/>
                <w:sz w:val="24"/>
                <w:szCs w:val="24"/>
              </w:rPr>
              <w:t>5th December 2018</w:t>
            </w:r>
          </w:p>
        </w:tc>
      </w:tr>
    </w:tbl>
    <w:p w:rsidR="001221DF" w:rsidRPr="001221DF" w:rsidRDefault="001221DF" w:rsidP="001221DF">
      <w:pPr>
        <w:autoSpaceDE w:val="0"/>
        <w:autoSpaceDN w:val="0"/>
        <w:spacing w:after="0" w:line="240" w:lineRule="auto"/>
        <w:jc w:val="both"/>
        <w:rPr>
          <w:rFonts w:ascii="Arial" w:eastAsia="Times New Roman" w:hAnsi="Arial" w:cs="Arial"/>
          <w:sz w:val="24"/>
          <w:szCs w:val="24"/>
        </w:rPr>
      </w:pPr>
    </w:p>
    <w:tbl>
      <w:tblPr>
        <w:tblW w:w="0" w:type="auto"/>
        <w:tblLook w:val="0000" w:firstRow="0" w:lastRow="0" w:firstColumn="0" w:lastColumn="0" w:noHBand="0" w:noVBand="0"/>
      </w:tblPr>
      <w:tblGrid>
        <w:gridCol w:w="2652"/>
        <w:gridCol w:w="6590"/>
      </w:tblGrid>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b/>
                <w:bCs/>
                <w:sz w:val="24"/>
                <w:szCs w:val="24"/>
              </w:rPr>
              <w:t>Application Number:</w:t>
            </w: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sz w:val="24"/>
                <w:szCs w:val="24"/>
              </w:rPr>
              <w:t>18/02320/FUL</w:t>
            </w: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b/>
                <w:bCs/>
                <w:sz w:val="24"/>
                <w:szCs w:val="24"/>
              </w:rPr>
              <w:t>Decision Due by:</w:t>
            </w: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sz w:val="24"/>
                <w:szCs w:val="24"/>
              </w:rPr>
              <w:t>26th October 2018</w:t>
            </w: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b/>
                <w:sz w:val="24"/>
                <w:szCs w:val="24"/>
              </w:rPr>
            </w:pPr>
            <w:r w:rsidRPr="001221DF">
              <w:rPr>
                <w:rFonts w:ascii="Arial" w:eastAsia="Times New Roman" w:hAnsi="Arial" w:cs="Arial"/>
                <w:b/>
                <w:sz w:val="24"/>
                <w:szCs w:val="24"/>
              </w:rPr>
              <w:t>Extension of Time:</w:t>
            </w: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b/>
                <w:bCs/>
                <w:sz w:val="24"/>
                <w:szCs w:val="24"/>
              </w:rPr>
            </w:pPr>
            <w:r w:rsidRPr="001221DF">
              <w:rPr>
                <w:rFonts w:ascii="Arial" w:eastAsia="Times New Roman" w:hAnsi="Arial" w:cs="Arial"/>
                <w:b/>
                <w:bCs/>
                <w:sz w:val="24"/>
                <w:szCs w:val="24"/>
              </w:rPr>
              <w:t>Proposal:</w:t>
            </w: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sz w:val="24"/>
                <w:szCs w:val="24"/>
              </w:rPr>
              <w:t>Change of use from guesthouse (Use Class C1) to a large House in Multiple Occupation (Sui Generis) (Amended Site Location and Amended Plans)</w:t>
            </w: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b/>
                <w:bCs/>
                <w:sz w:val="24"/>
                <w:szCs w:val="24"/>
              </w:rPr>
            </w:pP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b/>
                <w:bCs/>
                <w:sz w:val="24"/>
                <w:szCs w:val="24"/>
              </w:rPr>
            </w:pPr>
            <w:r w:rsidRPr="001221DF">
              <w:rPr>
                <w:rFonts w:ascii="Arial" w:eastAsia="Times New Roman" w:hAnsi="Arial" w:cs="Arial"/>
                <w:b/>
                <w:bCs/>
                <w:sz w:val="24"/>
                <w:szCs w:val="24"/>
              </w:rPr>
              <w:t>Site Address:</w:t>
            </w: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sz w:val="24"/>
                <w:szCs w:val="24"/>
              </w:rPr>
              <w:t xml:space="preserve">238 Headington Road,  Oxford,  OX3 7PR, </w:t>
            </w: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jc w:val="both"/>
              <w:rPr>
                <w:rFonts w:ascii="Arial" w:eastAsia="Times New Roman" w:hAnsi="Arial" w:cs="Arial"/>
                <w:b/>
                <w:bCs/>
                <w:sz w:val="24"/>
                <w:szCs w:val="24"/>
              </w:rPr>
            </w:pPr>
            <w:r w:rsidRPr="001221DF">
              <w:rPr>
                <w:rFonts w:ascii="Arial" w:eastAsia="Times New Roman" w:hAnsi="Arial" w:cs="Arial"/>
                <w:b/>
                <w:bCs/>
                <w:sz w:val="24"/>
                <w:szCs w:val="24"/>
              </w:rPr>
              <w:t>Ward:</w:t>
            </w:r>
          </w:p>
        </w:tc>
        <w:tc>
          <w:tcPr>
            <w:tcW w:w="6627" w:type="dxa"/>
          </w:tcPr>
          <w:p w:rsidR="001221DF" w:rsidRPr="001221DF" w:rsidRDefault="001221DF" w:rsidP="001221DF">
            <w:pP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sz w:val="24"/>
                <w:szCs w:val="24"/>
              </w:rPr>
              <w:t>Churchill Ward</w:t>
            </w:r>
          </w:p>
        </w:tc>
      </w:tr>
    </w:tbl>
    <w:p w:rsidR="001221DF" w:rsidRPr="001221DF" w:rsidRDefault="001221DF" w:rsidP="001221DF">
      <w:pPr>
        <w:autoSpaceDE w:val="0"/>
        <w:autoSpaceDN w:val="0"/>
        <w:spacing w:after="0" w:line="240" w:lineRule="auto"/>
        <w:jc w:val="both"/>
        <w:rPr>
          <w:rFonts w:ascii="Arial" w:eastAsia="Times New Roman" w:hAnsi="Arial" w:cs="Arial"/>
          <w:sz w:val="24"/>
          <w:szCs w:val="24"/>
        </w:rPr>
      </w:pPr>
    </w:p>
    <w:tbl>
      <w:tblPr>
        <w:tblW w:w="9288" w:type="dxa"/>
        <w:tblLayout w:type="fixed"/>
        <w:tblLook w:val="0000" w:firstRow="0" w:lastRow="0" w:firstColumn="0" w:lastColumn="0" w:noHBand="0" w:noVBand="0"/>
      </w:tblPr>
      <w:tblGrid>
        <w:gridCol w:w="2660"/>
        <w:gridCol w:w="1984"/>
        <w:gridCol w:w="1418"/>
        <w:gridCol w:w="3226"/>
      </w:tblGrid>
      <w:tr w:rsidR="001221DF" w:rsidRPr="001221DF" w:rsidTr="002E6A50">
        <w:tc>
          <w:tcPr>
            <w:tcW w:w="2660" w:type="dxa"/>
          </w:tcPr>
          <w:p w:rsidR="001221DF" w:rsidRPr="001221DF" w:rsidRDefault="001221DF" w:rsidP="001221DF">
            <w:pPr>
              <w:autoSpaceDE w:val="0"/>
              <w:autoSpaceDN w:val="0"/>
              <w:spacing w:after="0" w:line="240" w:lineRule="auto"/>
              <w:rPr>
                <w:rFonts w:ascii="Arial" w:eastAsia="Times New Roman" w:hAnsi="Arial" w:cs="Arial"/>
                <w:b/>
                <w:bCs/>
                <w:sz w:val="24"/>
                <w:szCs w:val="24"/>
              </w:rPr>
            </w:pPr>
            <w:r w:rsidRPr="001221DF">
              <w:rPr>
                <w:rFonts w:ascii="Arial" w:eastAsia="Times New Roman" w:hAnsi="Arial" w:cs="Arial"/>
                <w:b/>
                <w:bCs/>
                <w:sz w:val="24"/>
                <w:szCs w:val="24"/>
              </w:rPr>
              <w:t>Case Officer</w:t>
            </w:r>
          </w:p>
          <w:p w:rsidR="001221DF" w:rsidRPr="001221DF" w:rsidRDefault="001221DF" w:rsidP="001221DF">
            <w:pPr>
              <w:autoSpaceDE w:val="0"/>
              <w:autoSpaceDN w:val="0"/>
              <w:spacing w:after="0" w:line="240" w:lineRule="auto"/>
              <w:rPr>
                <w:rFonts w:ascii="Arial" w:eastAsia="Times New Roman" w:hAnsi="Arial" w:cs="Arial"/>
                <w:b/>
                <w:bCs/>
                <w:sz w:val="24"/>
                <w:szCs w:val="24"/>
              </w:rPr>
            </w:pPr>
          </w:p>
        </w:tc>
        <w:tc>
          <w:tcPr>
            <w:tcW w:w="1984" w:type="dxa"/>
          </w:tcPr>
          <w:p w:rsidR="001221DF" w:rsidRPr="001221DF" w:rsidRDefault="001221DF" w:rsidP="001221DF">
            <w:pPr>
              <w:autoSpaceDE w:val="0"/>
              <w:autoSpaceDN w:val="0"/>
              <w:spacing w:after="0" w:line="240" w:lineRule="auto"/>
              <w:rPr>
                <w:rFonts w:ascii="Arial" w:eastAsia="Times New Roman" w:hAnsi="Arial" w:cs="Arial"/>
                <w:sz w:val="24"/>
                <w:szCs w:val="24"/>
              </w:rPr>
            </w:pPr>
            <w:r w:rsidRPr="001221DF">
              <w:rPr>
                <w:rFonts w:ascii="Arial" w:eastAsia="Times New Roman" w:hAnsi="Arial" w:cs="Arial"/>
                <w:sz w:val="24"/>
                <w:szCs w:val="24"/>
              </w:rPr>
              <w:t>Alice Watkins</w:t>
            </w:r>
          </w:p>
        </w:tc>
        <w:tc>
          <w:tcPr>
            <w:tcW w:w="4644" w:type="dxa"/>
            <w:gridSpan w:val="2"/>
          </w:tcPr>
          <w:p w:rsidR="001221DF" w:rsidRPr="001221DF" w:rsidRDefault="001221DF" w:rsidP="001221DF">
            <w:pPr>
              <w:autoSpaceDE w:val="0"/>
              <w:autoSpaceDN w:val="0"/>
              <w:spacing w:after="0" w:line="240" w:lineRule="auto"/>
              <w:rPr>
                <w:rFonts w:ascii="Arial" w:eastAsia="Times New Roman" w:hAnsi="Arial" w:cs="Arial"/>
                <w:sz w:val="24"/>
                <w:szCs w:val="24"/>
              </w:rPr>
            </w:pPr>
          </w:p>
        </w:tc>
      </w:tr>
      <w:tr w:rsidR="001221DF" w:rsidRPr="001221DF" w:rsidTr="002E6A50">
        <w:tc>
          <w:tcPr>
            <w:tcW w:w="2660" w:type="dxa"/>
          </w:tcPr>
          <w:p w:rsidR="001221DF" w:rsidRPr="001221DF" w:rsidRDefault="001221DF" w:rsidP="001221DF">
            <w:pPr>
              <w:autoSpaceDE w:val="0"/>
              <w:autoSpaceDN w:val="0"/>
              <w:spacing w:after="0" w:line="240" w:lineRule="auto"/>
              <w:rPr>
                <w:rFonts w:ascii="Arial" w:eastAsia="Times New Roman" w:hAnsi="Arial" w:cs="Arial"/>
                <w:sz w:val="24"/>
                <w:szCs w:val="24"/>
              </w:rPr>
            </w:pPr>
            <w:r w:rsidRPr="001221DF">
              <w:rPr>
                <w:rFonts w:ascii="Arial" w:eastAsia="Times New Roman" w:hAnsi="Arial" w:cs="Arial"/>
                <w:b/>
                <w:bCs/>
                <w:sz w:val="24"/>
                <w:szCs w:val="24"/>
              </w:rPr>
              <w:t>Agent:</w:t>
            </w:r>
            <w:r w:rsidRPr="001221DF">
              <w:rPr>
                <w:rFonts w:ascii="Arial" w:eastAsia="Times New Roman" w:hAnsi="Arial" w:cs="Arial"/>
                <w:sz w:val="24"/>
                <w:szCs w:val="24"/>
              </w:rPr>
              <w:t xml:space="preserve"> </w:t>
            </w:r>
          </w:p>
        </w:tc>
        <w:tc>
          <w:tcPr>
            <w:tcW w:w="1984" w:type="dxa"/>
          </w:tcPr>
          <w:p w:rsidR="001221DF" w:rsidRPr="001221DF" w:rsidRDefault="001221DF" w:rsidP="001221DF">
            <w:pPr>
              <w:autoSpaceDE w:val="0"/>
              <w:autoSpaceDN w:val="0"/>
              <w:spacing w:after="0" w:line="240" w:lineRule="auto"/>
              <w:rPr>
                <w:rFonts w:ascii="Arial" w:eastAsia="Times New Roman" w:hAnsi="Arial" w:cs="Arial"/>
                <w:sz w:val="24"/>
                <w:szCs w:val="24"/>
              </w:rPr>
            </w:pPr>
            <w:r w:rsidRPr="001221DF">
              <w:rPr>
                <w:rFonts w:ascii="Arial" w:eastAsia="Times New Roman" w:hAnsi="Arial" w:cs="Arial"/>
                <w:sz w:val="24"/>
                <w:szCs w:val="24"/>
              </w:rPr>
              <w:t>Mr Paul Southouse</w:t>
            </w:r>
          </w:p>
        </w:tc>
        <w:tc>
          <w:tcPr>
            <w:tcW w:w="1418" w:type="dxa"/>
          </w:tcPr>
          <w:p w:rsidR="001221DF" w:rsidRPr="001221DF" w:rsidRDefault="001221DF" w:rsidP="001221DF">
            <w:pPr>
              <w:autoSpaceDE w:val="0"/>
              <w:autoSpaceDN w:val="0"/>
              <w:spacing w:after="0" w:line="240" w:lineRule="auto"/>
              <w:rPr>
                <w:rFonts w:ascii="Arial" w:eastAsia="Times New Roman" w:hAnsi="Arial" w:cs="Arial"/>
                <w:sz w:val="24"/>
                <w:szCs w:val="24"/>
              </w:rPr>
            </w:pPr>
            <w:r w:rsidRPr="001221DF">
              <w:rPr>
                <w:rFonts w:ascii="Arial" w:eastAsia="Times New Roman" w:hAnsi="Arial" w:cs="Arial"/>
                <w:b/>
                <w:bCs/>
                <w:sz w:val="24"/>
                <w:szCs w:val="24"/>
              </w:rPr>
              <w:t>Applicant:</w:t>
            </w:r>
            <w:r w:rsidRPr="001221DF">
              <w:rPr>
                <w:rFonts w:ascii="Arial" w:eastAsia="Times New Roman" w:hAnsi="Arial" w:cs="Arial"/>
                <w:sz w:val="24"/>
                <w:szCs w:val="24"/>
              </w:rPr>
              <w:t xml:space="preserve"> </w:t>
            </w:r>
          </w:p>
        </w:tc>
        <w:tc>
          <w:tcPr>
            <w:tcW w:w="3226" w:type="dxa"/>
          </w:tcPr>
          <w:p w:rsidR="001221DF" w:rsidRPr="001221DF" w:rsidRDefault="001221DF" w:rsidP="001221DF">
            <w:pPr>
              <w:autoSpaceDE w:val="0"/>
              <w:autoSpaceDN w:val="0"/>
              <w:spacing w:after="0" w:line="240" w:lineRule="auto"/>
              <w:rPr>
                <w:rFonts w:ascii="Arial" w:eastAsia="Times New Roman" w:hAnsi="Arial" w:cs="Arial"/>
                <w:sz w:val="24"/>
                <w:szCs w:val="24"/>
              </w:rPr>
            </w:pPr>
            <w:r w:rsidRPr="001221DF">
              <w:rPr>
                <w:rFonts w:ascii="Arial" w:eastAsia="Times New Roman" w:hAnsi="Arial" w:cs="Arial"/>
                <w:sz w:val="24"/>
                <w:szCs w:val="24"/>
              </w:rPr>
              <w:t>Mr Dai</w:t>
            </w:r>
          </w:p>
        </w:tc>
      </w:tr>
    </w:tbl>
    <w:p w:rsidR="001221DF" w:rsidRPr="001221DF" w:rsidRDefault="001221DF" w:rsidP="001221DF">
      <w:pPr>
        <w:pBdr>
          <w:bottom w:val="single" w:sz="4" w:space="1" w:color="auto"/>
        </w:pBdr>
        <w:autoSpaceDE w:val="0"/>
        <w:autoSpaceDN w:val="0"/>
        <w:spacing w:after="0" w:line="240" w:lineRule="auto"/>
        <w:jc w:val="both"/>
        <w:rPr>
          <w:rFonts w:ascii="Arial" w:eastAsia="Times New Roman" w:hAnsi="Arial" w:cs="Arial"/>
          <w:sz w:val="24"/>
          <w:szCs w:val="24"/>
        </w:rPr>
      </w:pPr>
    </w:p>
    <w:p w:rsidR="001221DF" w:rsidRPr="001221DF" w:rsidRDefault="001221DF" w:rsidP="001221DF">
      <w:pPr>
        <w:pBdr>
          <w:bottom w:val="single" w:sz="4" w:space="1" w:color="auto"/>
        </w:pBdr>
        <w:autoSpaceDE w:val="0"/>
        <w:autoSpaceDN w:val="0"/>
        <w:spacing w:after="0" w:line="240" w:lineRule="auto"/>
        <w:jc w:val="both"/>
        <w:rPr>
          <w:rFonts w:ascii="Arial" w:eastAsia="Times New Roman" w:hAnsi="Arial" w:cs="Arial"/>
          <w:sz w:val="24"/>
          <w:szCs w:val="24"/>
        </w:rPr>
      </w:pPr>
      <w:r w:rsidRPr="001221DF">
        <w:rPr>
          <w:rFonts w:ascii="Arial" w:eastAsia="Times New Roman" w:hAnsi="Arial" w:cs="Arial"/>
          <w:b/>
          <w:sz w:val="24"/>
          <w:szCs w:val="24"/>
        </w:rPr>
        <w:t>Reason at Committee:</w:t>
      </w:r>
      <w:r w:rsidRPr="001221DF">
        <w:rPr>
          <w:rFonts w:ascii="Arial" w:eastAsia="Times New Roman" w:hAnsi="Arial" w:cs="Arial"/>
          <w:sz w:val="24"/>
          <w:szCs w:val="24"/>
        </w:rPr>
        <w:t xml:space="preserve">  Called in by Councillors S Brown, L Smith, J Fry, C </w:t>
      </w:r>
      <w:proofErr w:type="spellStart"/>
      <w:r w:rsidRPr="001221DF">
        <w:rPr>
          <w:rFonts w:ascii="Arial" w:eastAsia="Times New Roman" w:hAnsi="Arial" w:cs="Arial"/>
          <w:sz w:val="24"/>
          <w:szCs w:val="24"/>
        </w:rPr>
        <w:t>Munkonge</w:t>
      </w:r>
      <w:proofErr w:type="spellEnd"/>
      <w:r w:rsidRPr="001221DF">
        <w:rPr>
          <w:rFonts w:ascii="Arial" w:eastAsia="Times New Roman" w:hAnsi="Arial" w:cs="Arial"/>
          <w:sz w:val="24"/>
          <w:szCs w:val="24"/>
        </w:rPr>
        <w:t xml:space="preserve">, P Kennedy, M Rowley and N Chapman due to loss of Guest House accommodation and concentration of HMOs in the area. </w:t>
      </w:r>
    </w:p>
    <w:p w:rsidR="001221DF" w:rsidRPr="001221DF" w:rsidRDefault="001221DF" w:rsidP="001221DF">
      <w:pPr>
        <w:pBdr>
          <w:bottom w:val="single" w:sz="4" w:space="1" w:color="auto"/>
        </w:pBdr>
        <w:autoSpaceDE w:val="0"/>
        <w:autoSpaceDN w:val="0"/>
        <w:spacing w:after="0" w:line="240" w:lineRule="auto"/>
        <w:jc w:val="both"/>
        <w:rPr>
          <w:rFonts w:ascii="Arial" w:eastAsia="Times New Roman" w:hAnsi="Arial" w:cs="Arial"/>
          <w:sz w:val="24"/>
          <w:szCs w:val="24"/>
        </w:rPr>
      </w:pPr>
    </w:p>
    <w:p w:rsidR="001221DF" w:rsidRPr="001221DF" w:rsidRDefault="001221DF" w:rsidP="001221DF">
      <w:pPr>
        <w:widowControl w:val="0"/>
        <w:autoSpaceDE w:val="0"/>
        <w:autoSpaceDN w:val="0"/>
        <w:spacing w:after="0" w:line="240" w:lineRule="auto"/>
        <w:jc w:val="both"/>
        <w:rPr>
          <w:rFonts w:ascii="Arial" w:eastAsia="Times New Roman" w:hAnsi="Arial" w:cs="Arial"/>
          <w:sz w:val="24"/>
          <w:szCs w:val="24"/>
        </w:rPr>
      </w:pPr>
    </w:p>
    <w:p w:rsidR="001221DF" w:rsidRDefault="001221DF" w:rsidP="001221DF">
      <w:pPr>
        <w:widowControl w:val="0"/>
        <w:numPr>
          <w:ilvl w:val="0"/>
          <w:numId w:val="1"/>
        </w:numPr>
        <w:autoSpaceDE w:val="0"/>
        <w:autoSpaceDN w:val="0"/>
        <w:spacing w:after="0" w:line="240" w:lineRule="auto"/>
        <w:ind w:left="426" w:hanging="710"/>
        <w:jc w:val="both"/>
        <w:rPr>
          <w:rFonts w:ascii="Arial" w:eastAsia="Times New Roman" w:hAnsi="Arial" w:cs="Arial"/>
          <w:b/>
          <w:bCs/>
          <w:sz w:val="24"/>
          <w:szCs w:val="24"/>
        </w:rPr>
      </w:pPr>
      <w:r>
        <w:rPr>
          <w:rFonts w:ascii="Arial" w:eastAsia="Times New Roman" w:hAnsi="Arial" w:cs="Arial"/>
          <w:b/>
          <w:bCs/>
          <w:sz w:val="24"/>
          <w:szCs w:val="24"/>
        </w:rPr>
        <w:t>CHANGES</w:t>
      </w:r>
      <w:r w:rsidR="00EE2D11">
        <w:rPr>
          <w:rFonts w:ascii="Arial" w:eastAsia="Times New Roman" w:hAnsi="Arial" w:cs="Arial"/>
          <w:b/>
          <w:bCs/>
          <w:sz w:val="24"/>
          <w:szCs w:val="24"/>
        </w:rPr>
        <w:t xml:space="preserve"> to the original published report</w:t>
      </w:r>
      <w:bookmarkStart w:id="0" w:name="_GoBack"/>
      <w:bookmarkEnd w:id="0"/>
    </w:p>
    <w:p w:rsidR="001221DF" w:rsidRDefault="001221DF" w:rsidP="001221DF">
      <w:pPr>
        <w:widowControl w:val="0"/>
        <w:autoSpaceDE w:val="0"/>
        <w:autoSpaceDN w:val="0"/>
        <w:spacing w:after="0" w:line="240" w:lineRule="auto"/>
        <w:ind w:left="426"/>
        <w:jc w:val="both"/>
        <w:rPr>
          <w:rFonts w:ascii="Arial" w:eastAsia="Times New Roman" w:hAnsi="Arial" w:cs="Arial"/>
          <w:b/>
          <w:bCs/>
          <w:sz w:val="24"/>
          <w:szCs w:val="24"/>
        </w:rPr>
      </w:pPr>
    </w:p>
    <w:tbl>
      <w:tblPr>
        <w:tblStyle w:val="TableGrid"/>
        <w:tblW w:w="0" w:type="auto"/>
        <w:tblInd w:w="426" w:type="dxa"/>
        <w:tblLook w:val="04A0" w:firstRow="1" w:lastRow="0" w:firstColumn="1" w:lastColumn="0" w:noHBand="0" w:noVBand="1"/>
      </w:tblPr>
      <w:tblGrid>
        <w:gridCol w:w="1809"/>
        <w:gridCol w:w="7007"/>
      </w:tblGrid>
      <w:tr w:rsidR="001221DF" w:rsidTr="001221DF">
        <w:tc>
          <w:tcPr>
            <w:tcW w:w="1809" w:type="dxa"/>
          </w:tcPr>
          <w:p w:rsidR="001221DF" w:rsidRDefault="001221DF" w:rsidP="001221DF">
            <w:pPr>
              <w:widowControl w:val="0"/>
              <w:autoSpaceDE w:val="0"/>
              <w:autoSpaceDN w:val="0"/>
              <w:jc w:val="both"/>
              <w:rPr>
                <w:rFonts w:ascii="Arial" w:eastAsia="Times New Roman" w:hAnsi="Arial" w:cs="Arial"/>
                <w:b/>
                <w:bCs/>
                <w:sz w:val="24"/>
                <w:szCs w:val="24"/>
              </w:rPr>
            </w:pPr>
            <w:r>
              <w:rPr>
                <w:rFonts w:ascii="Arial" w:eastAsia="Times New Roman" w:hAnsi="Arial" w:cs="Arial"/>
                <w:b/>
                <w:bCs/>
                <w:sz w:val="24"/>
                <w:szCs w:val="24"/>
              </w:rPr>
              <w:t>PARAGRAPH</w:t>
            </w:r>
          </w:p>
        </w:tc>
        <w:tc>
          <w:tcPr>
            <w:tcW w:w="7007" w:type="dxa"/>
          </w:tcPr>
          <w:p w:rsidR="001221DF" w:rsidRDefault="001221DF" w:rsidP="001221DF">
            <w:pPr>
              <w:widowControl w:val="0"/>
              <w:autoSpaceDE w:val="0"/>
              <w:autoSpaceDN w:val="0"/>
              <w:jc w:val="both"/>
              <w:rPr>
                <w:rFonts w:ascii="Arial" w:eastAsia="Times New Roman" w:hAnsi="Arial" w:cs="Arial"/>
                <w:b/>
                <w:bCs/>
                <w:sz w:val="24"/>
                <w:szCs w:val="24"/>
              </w:rPr>
            </w:pPr>
            <w:r w:rsidRPr="00EE2D11">
              <w:rPr>
                <w:rFonts w:ascii="Arial" w:eastAsia="Times New Roman" w:hAnsi="Arial" w:cs="Arial"/>
                <w:b/>
                <w:bCs/>
                <w:color w:val="FF0000"/>
                <w:sz w:val="24"/>
                <w:szCs w:val="24"/>
              </w:rPr>
              <w:t>AMENDED TEXT</w:t>
            </w:r>
            <w:r w:rsidR="00EE2D11" w:rsidRPr="00EE2D11">
              <w:rPr>
                <w:rFonts w:ascii="Arial" w:eastAsia="Times New Roman" w:hAnsi="Arial" w:cs="Arial"/>
                <w:b/>
                <w:bCs/>
                <w:color w:val="FF0000"/>
                <w:sz w:val="24"/>
                <w:szCs w:val="24"/>
              </w:rPr>
              <w:t xml:space="preserve"> </w:t>
            </w:r>
            <w:r w:rsidR="00EE2D11">
              <w:rPr>
                <w:rFonts w:ascii="Arial" w:eastAsia="Times New Roman" w:hAnsi="Arial" w:cs="Arial"/>
                <w:b/>
                <w:bCs/>
                <w:sz w:val="24"/>
                <w:szCs w:val="24"/>
              </w:rPr>
              <w:t>from that in the original published report</w:t>
            </w:r>
          </w:p>
        </w:tc>
      </w:tr>
      <w:tr w:rsidR="001221DF" w:rsidTr="001221DF">
        <w:tc>
          <w:tcPr>
            <w:tcW w:w="1809" w:type="dxa"/>
          </w:tcPr>
          <w:p w:rsidR="001221DF" w:rsidRDefault="001221DF" w:rsidP="001221DF">
            <w:pPr>
              <w:widowControl w:val="0"/>
              <w:autoSpaceDE w:val="0"/>
              <w:autoSpaceDN w:val="0"/>
              <w:jc w:val="both"/>
              <w:rPr>
                <w:rFonts w:ascii="Arial" w:eastAsia="Times New Roman" w:hAnsi="Arial" w:cs="Arial"/>
                <w:b/>
                <w:bCs/>
                <w:sz w:val="24"/>
                <w:szCs w:val="24"/>
              </w:rPr>
            </w:pPr>
            <w:r>
              <w:rPr>
                <w:rFonts w:ascii="Arial" w:eastAsia="Times New Roman" w:hAnsi="Arial" w:cs="Arial"/>
                <w:b/>
                <w:bCs/>
                <w:sz w:val="24"/>
                <w:szCs w:val="24"/>
              </w:rPr>
              <w:t>10.2</w:t>
            </w:r>
          </w:p>
        </w:tc>
        <w:tc>
          <w:tcPr>
            <w:tcW w:w="7007" w:type="dxa"/>
          </w:tcPr>
          <w:p w:rsidR="001221DF" w:rsidRPr="001221DF" w:rsidRDefault="001221DF" w:rsidP="001221DF">
            <w:pPr>
              <w:autoSpaceDE w:val="0"/>
              <w:autoSpaceDN w:val="0"/>
              <w:jc w:val="both"/>
              <w:rPr>
                <w:rFonts w:ascii="Arial" w:eastAsia="Times New Roman" w:hAnsi="Arial" w:cs="Arial"/>
                <w:sz w:val="24"/>
                <w:szCs w:val="24"/>
              </w:rPr>
            </w:pPr>
            <w:r w:rsidRPr="00EE2D11">
              <w:rPr>
                <w:rFonts w:ascii="Arial" w:eastAsia="Times New Roman" w:hAnsi="Arial" w:cs="Arial"/>
                <w:color w:val="FF0000"/>
                <w:sz w:val="24"/>
                <w:szCs w:val="24"/>
              </w:rPr>
              <w:t>The starting point for the determination of the application is what the lawful use of the site is.  There is some ambiguity as to what this is and a certificate of lawfulness has not been submitted to establish the lawful use.  However Officers have investigated to the best of their ability and it is apparent that</w:t>
            </w:r>
            <w:r w:rsidRPr="001221DF">
              <w:rPr>
                <w:rFonts w:ascii="Arial" w:eastAsia="Times New Roman" w:hAnsi="Arial" w:cs="Arial"/>
                <w:sz w:val="24"/>
                <w:szCs w:val="24"/>
              </w:rPr>
              <w:t xml:space="preserve"> 238 Headington Road, when occupied by the previous owner, operated as a Guest House for approximately 20 years. </w:t>
            </w:r>
            <w:r w:rsidRPr="00EE2D11">
              <w:rPr>
                <w:rFonts w:ascii="Arial" w:eastAsia="Times New Roman" w:hAnsi="Arial" w:cs="Arial"/>
                <w:color w:val="FF0000"/>
                <w:sz w:val="24"/>
                <w:szCs w:val="24"/>
              </w:rPr>
              <w:t>It is unclear when or if this use ceased. The information submitted with the current application is limited but the Council has anecdotal evidence that s</w:t>
            </w:r>
            <w:r w:rsidRPr="001221DF">
              <w:rPr>
                <w:rFonts w:ascii="Arial" w:eastAsia="Times New Roman" w:hAnsi="Arial" w:cs="Arial"/>
                <w:sz w:val="24"/>
                <w:szCs w:val="24"/>
              </w:rPr>
              <w:t xml:space="preserve">ince 2014, the property has been in use as a single </w:t>
            </w:r>
            <w:proofErr w:type="spellStart"/>
            <w:r w:rsidRPr="001221DF">
              <w:rPr>
                <w:rFonts w:ascii="Arial" w:eastAsia="Times New Roman" w:hAnsi="Arial" w:cs="Arial"/>
                <w:sz w:val="24"/>
                <w:szCs w:val="24"/>
              </w:rPr>
              <w:t>dwellinghouse</w:t>
            </w:r>
            <w:proofErr w:type="spellEnd"/>
            <w:r w:rsidRPr="001221DF">
              <w:rPr>
                <w:rFonts w:ascii="Arial" w:eastAsia="Times New Roman" w:hAnsi="Arial" w:cs="Arial"/>
                <w:sz w:val="24"/>
                <w:szCs w:val="24"/>
              </w:rPr>
              <w:t xml:space="preserve">. </w:t>
            </w:r>
            <w:r w:rsidRPr="00EE2D11">
              <w:rPr>
                <w:rFonts w:ascii="Arial" w:eastAsia="Times New Roman" w:hAnsi="Arial" w:cs="Arial"/>
                <w:color w:val="FF0000"/>
                <w:sz w:val="24"/>
                <w:szCs w:val="24"/>
              </w:rPr>
              <w:t>However in the absence of any evidence it cannot be determined how, when or if the guest house use ceased and how, when or if it was accommodated as a C3 dwelling.</w:t>
            </w:r>
            <w:r w:rsidRPr="001221DF">
              <w:rPr>
                <w:rFonts w:ascii="Arial" w:eastAsia="Times New Roman" w:hAnsi="Arial" w:cs="Arial"/>
                <w:sz w:val="24"/>
                <w:szCs w:val="24"/>
              </w:rPr>
              <w:t xml:space="preserve">  The property was purchased by the present owner in April this year and the </w:t>
            </w:r>
            <w:r w:rsidRPr="00EE2D11">
              <w:rPr>
                <w:rFonts w:ascii="Arial" w:eastAsia="Times New Roman" w:hAnsi="Arial" w:cs="Arial"/>
                <w:color w:val="FF0000"/>
                <w:sz w:val="24"/>
                <w:szCs w:val="24"/>
              </w:rPr>
              <w:t xml:space="preserve">building </w:t>
            </w:r>
            <w:r w:rsidRPr="001221DF">
              <w:rPr>
                <w:rFonts w:ascii="Arial" w:eastAsia="Times New Roman" w:hAnsi="Arial" w:cs="Arial"/>
                <w:sz w:val="24"/>
                <w:szCs w:val="24"/>
              </w:rPr>
              <w:t xml:space="preserve">is currently vacant. Planning permission was never sought for the use of the property as a Guest House.  </w:t>
            </w:r>
            <w:r w:rsidRPr="00EE2D11">
              <w:rPr>
                <w:rFonts w:ascii="Arial" w:eastAsia="Times New Roman" w:hAnsi="Arial" w:cs="Arial"/>
                <w:color w:val="FF0000"/>
                <w:sz w:val="24"/>
                <w:szCs w:val="24"/>
              </w:rPr>
              <w:t xml:space="preserve">However officers consider that the </w:t>
            </w:r>
            <w:r w:rsidRPr="001221DF">
              <w:rPr>
                <w:rFonts w:ascii="Arial" w:eastAsia="Times New Roman" w:hAnsi="Arial" w:cs="Arial"/>
                <w:sz w:val="24"/>
                <w:szCs w:val="24"/>
              </w:rPr>
              <w:t xml:space="preserve">use of the site as a Guest House became lawful because of the amount of time it operated as a Guest House and </w:t>
            </w:r>
            <w:r w:rsidRPr="00EE2D11">
              <w:rPr>
                <w:rFonts w:ascii="Arial" w:eastAsia="Times New Roman" w:hAnsi="Arial" w:cs="Arial"/>
                <w:color w:val="FF0000"/>
                <w:sz w:val="24"/>
                <w:szCs w:val="24"/>
              </w:rPr>
              <w:t>it is likely</w:t>
            </w:r>
            <w:r w:rsidRPr="001221DF">
              <w:rPr>
                <w:rFonts w:ascii="Arial" w:eastAsia="Times New Roman" w:hAnsi="Arial" w:cs="Arial"/>
                <w:sz w:val="24"/>
                <w:szCs w:val="24"/>
              </w:rPr>
              <w:t xml:space="preserve"> it would have been immune from any enforcement action </w:t>
            </w:r>
            <w:r w:rsidRPr="00EE2D11">
              <w:rPr>
                <w:rFonts w:ascii="Arial" w:eastAsia="Times New Roman" w:hAnsi="Arial" w:cs="Arial"/>
                <w:color w:val="FF0000"/>
                <w:sz w:val="24"/>
                <w:szCs w:val="24"/>
              </w:rPr>
              <w:t>after 10 years</w:t>
            </w:r>
            <w:r w:rsidRPr="001221DF">
              <w:rPr>
                <w:rFonts w:ascii="Arial" w:eastAsia="Times New Roman" w:hAnsi="Arial" w:cs="Arial"/>
                <w:sz w:val="24"/>
                <w:szCs w:val="24"/>
              </w:rPr>
              <w:t xml:space="preserve">.  It is clear from the evidence available to the Council that </w:t>
            </w:r>
            <w:r w:rsidRPr="001221DF">
              <w:rPr>
                <w:rFonts w:ascii="Arial" w:eastAsia="Times New Roman" w:hAnsi="Arial" w:cs="Arial"/>
                <w:sz w:val="24"/>
                <w:szCs w:val="24"/>
              </w:rPr>
              <w:lastRenderedPageBreak/>
              <w:t xml:space="preserve">the property was in use as a guesthouse for the period of time stated above.  If and when the property was occupied again in 2014 as a single </w:t>
            </w:r>
            <w:proofErr w:type="spellStart"/>
            <w:r w:rsidRPr="001221DF">
              <w:rPr>
                <w:rFonts w:ascii="Arial" w:eastAsia="Times New Roman" w:hAnsi="Arial" w:cs="Arial"/>
                <w:sz w:val="24"/>
                <w:szCs w:val="24"/>
              </w:rPr>
              <w:t>dwellinghouse</w:t>
            </w:r>
            <w:proofErr w:type="spellEnd"/>
            <w:r w:rsidRPr="001221DF">
              <w:rPr>
                <w:rFonts w:ascii="Arial" w:eastAsia="Times New Roman" w:hAnsi="Arial" w:cs="Arial"/>
                <w:sz w:val="24"/>
                <w:szCs w:val="24"/>
              </w:rPr>
              <w:t xml:space="preserve">, this change of use would have required planning permission which was not sought or granted. The property would need to be occupied as a single </w:t>
            </w:r>
            <w:proofErr w:type="spellStart"/>
            <w:r w:rsidRPr="001221DF">
              <w:rPr>
                <w:rFonts w:ascii="Arial" w:eastAsia="Times New Roman" w:hAnsi="Arial" w:cs="Arial"/>
                <w:sz w:val="24"/>
                <w:szCs w:val="24"/>
              </w:rPr>
              <w:t>dwellinghouse</w:t>
            </w:r>
            <w:proofErr w:type="spellEnd"/>
            <w:r w:rsidRPr="001221DF">
              <w:rPr>
                <w:rFonts w:ascii="Arial" w:eastAsia="Times New Roman" w:hAnsi="Arial" w:cs="Arial"/>
                <w:sz w:val="24"/>
                <w:szCs w:val="24"/>
              </w:rPr>
              <w:t xml:space="preserve"> for a period of at least four years for the use to be lawful and immune from enforcement action. </w:t>
            </w:r>
            <w:r w:rsidRPr="00EE2D11">
              <w:rPr>
                <w:rFonts w:ascii="Arial" w:eastAsia="Times New Roman" w:hAnsi="Arial" w:cs="Arial"/>
                <w:color w:val="FF0000"/>
                <w:sz w:val="24"/>
                <w:szCs w:val="24"/>
              </w:rPr>
              <w:t>At the present time and in the absence of any evidence to certify the C3 use</w:t>
            </w:r>
            <w:r w:rsidRPr="001221DF">
              <w:rPr>
                <w:rFonts w:ascii="Arial" w:eastAsia="Times New Roman" w:hAnsi="Arial" w:cs="Arial"/>
                <w:sz w:val="24"/>
                <w:szCs w:val="24"/>
              </w:rPr>
              <w:t xml:space="preserve">, Officers are satisfied that the lawful use of the site is a Guest House (Use Class C1) and have therefore assessed the application on this basis.  </w:t>
            </w:r>
            <w:r w:rsidRPr="00EE2D11">
              <w:rPr>
                <w:rFonts w:ascii="Arial" w:eastAsia="Times New Roman" w:hAnsi="Arial" w:cs="Arial"/>
                <w:color w:val="FF0000"/>
                <w:sz w:val="24"/>
                <w:szCs w:val="24"/>
              </w:rPr>
              <w:t xml:space="preserve">Even if a contrary view is taken, given that the building has not been occupied since April of this year, it could be argued to have a nil use.  Officers do not consider the building to be in C3 use.     </w:t>
            </w:r>
          </w:p>
        </w:tc>
      </w:tr>
      <w:tr w:rsidR="001221DF" w:rsidTr="001221DF">
        <w:tc>
          <w:tcPr>
            <w:tcW w:w="1809" w:type="dxa"/>
          </w:tcPr>
          <w:p w:rsidR="001221DF" w:rsidRDefault="001221DF" w:rsidP="001221DF">
            <w:pPr>
              <w:widowControl w:val="0"/>
              <w:autoSpaceDE w:val="0"/>
              <w:autoSpaceDN w:val="0"/>
              <w:jc w:val="both"/>
              <w:rPr>
                <w:rFonts w:ascii="Arial" w:eastAsia="Times New Roman" w:hAnsi="Arial" w:cs="Arial"/>
                <w:b/>
                <w:bCs/>
                <w:sz w:val="24"/>
                <w:szCs w:val="24"/>
              </w:rPr>
            </w:pPr>
            <w:r>
              <w:rPr>
                <w:rFonts w:ascii="Arial" w:eastAsia="Times New Roman" w:hAnsi="Arial" w:cs="Arial"/>
                <w:b/>
                <w:bCs/>
                <w:sz w:val="24"/>
                <w:szCs w:val="24"/>
              </w:rPr>
              <w:lastRenderedPageBreak/>
              <w:t>10.5</w:t>
            </w:r>
          </w:p>
        </w:tc>
        <w:tc>
          <w:tcPr>
            <w:tcW w:w="7007" w:type="dxa"/>
          </w:tcPr>
          <w:p w:rsidR="001221DF" w:rsidRPr="001221DF" w:rsidRDefault="001221DF" w:rsidP="001221DF">
            <w:pPr>
              <w:widowControl w:val="0"/>
              <w:autoSpaceDE w:val="0"/>
              <w:autoSpaceDN w:val="0"/>
              <w:jc w:val="both"/>
              <w:rPr>
                <w:rFonts w:ascii="Arial" w:eastAsia="Times New Roman" w:hAnsi="Arial" w:cs="Arial"/>
                <w:b/>
                <w:bCs/>
                <w:sz w:val="24"/>
                <w:szCs w:val="24"/>
              </w:rPr>
            </w:pPr>
            <w:r w:rsidRPr="001221DF">
              <w:rPr>
                <w:rFonts w:ascii="Arial" w:hAnsi="Arial" w:cs="Arial"/>
                <w:iCs/>
                <w:sz w:val="24"/>
                <w:szCs w:val="24"/>
              </w:rPr>
              <w:t xml:space="preserve">Whilst it would usually be expected that the concentration of HMOs in an area does not exceed 20%, the criteria of Policy HP7 (a) does not apply in this case. The application seeks consent to change the property from a Guest House (Use Class C1) to a large House in Multiple Occupation (Sui Generis). The 20% limit identified under Policy HP7 only relates to the change of use from a single </w:t>
            </w:r>
            <w:proofErr w:type="spellStart"/>
            <w:r w:rsidRPr="001221DF">
              <w:rPr>
                <w:rFonts w:ascii="Arial" w:hAnsi="Arial" w:cs="Arial"/>
                <w:iCs/>
                <w:sz w:val="24"/>
                <w:szCs w:val="24"/>
              </w:rPr>
              <w:t>dwellinghouse</w:t>
            </w:r>
            <w:proofErr w:type="spellEnd"/>
            <w:r w:rsidRPr="001221DF">
              <w:rPr>
                <w:rFonts w:ascii="Arial" w:hAnsi="Arial" w:cs="Arial"/>
                <w:iCs/>
                <w:sz w:val="24"/>
                <w:szCs w:val="24"/>
              </w:rPr>
              <w:t xml:space="preserve"> (Use Class C3). The aim of this policy is to retain the existing housing stock.  The proposal would result in a total of 42.31% of properties being in use as HMOs in the area. As explained above, the existing use of 238 Headington Road is considered to be a Guest House (Use Class C1) </w:t>
            </w:r>
            <w:r w:rsidRPr="00EE2D11">
              <w:rPr>
                <w:rFonts w:ascii="Arial" w:hAnsi="Arial" w:cs="Arial"/>
                <w:iCs/>
                <w:color w:val="FF0000"/>
                <w:sz w:val="24"/>
                <w:szCs w:val="24"/>
              </w:rPr>
              <w:t xml:space="preserve">or a nil use </w:t>
            </w:r>
            <w:r w:rsidRPr="001221DF">
              <w:rPr>
                <w:rFonts w:ascii="Arial" w:hAnsi="Arial" w:cs="Arial"/>
                <w:iCs/>
                <w:sz w:val="24"/>
                <w:szCs w:val="24"/>
              </w:rPr>
              <w:t xml:space="preserve">and as the policy only restricts the use of C3 </w:t>
            </w:r>
            <w:proofErr w:type="spellStart"/>
            <w:r w:rsidRPr="001221DF">
              <w:rPr>
                <w:rFonts w:ascii="Arial" w:hAnsi="Arial" w:cs="Arial"/>
                <w:iCs/>
                <w:sz w:val="24"/>
                <w:szCs w:val="24"/>
              </w:rPr>
              <w:t>dwellinghouses</w:t>
            </w:r>
            <w:proofErr w:type="spellEnd"/>
            <w:r w:rsidRPr="001221DF">
              <w:rPr>
                <w:rFonts w:ascii="Arial" w:hAnsi="Arial" w:cs="Arial"/>
                <w:iCs/>
                <w:sz w:val="24"/>
                <w:szCs w:val="24"/>
              </w:rPr>
              <w:t xml:space="preserve">, it is considered that it would not be reasonable to refuse the application due to the density of HMOs in the area. There are no other relevant planning policies which restrict the density of HMO.  As such in this case there would be no conflict with policy in terms of the concentration of HMOs.  </w:t>
            </w:r>
          </w:p>
        </w:tc>
      </w:tr>
    </w:tbl>
    <w:p w:rsidR="001221DF" w:rsidRPr="001221DF" w:rsidRDefault="001221DF" w:rsidP="001221DF">
      <w:pPr>
        <w:widowControl w:val="0"/>
        <w:autoSpaceDE w:val="0"/>
        <w:autoSpaceDN w:val="0"/>
        <w:spacing w:after="0" w:line="240" w:lineRule="auto"/>
        <w:ind w:left="426"/>
        <w:jc w:val="both"/>
        <w:rPr>
          <w:rFonts w:ascii="Arial" w:eastAsia="Times New Roman" w:hAnsi="Arial" w:cs="Arial"/>
          <w:b/>
          <w:bCs/>
          <w:sz w:val="24"/>
          <w:szCs w:val="24"/>
        </w:rPr>
      </w:pPr>
    </w:p>
    <w:p w:rsidR="00CB68D0" w:rsidRDefault="00CB68D0"/>
    <w:sectPr w:rsidR="00CB6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DF"/>
    <w:rsid w:val="001221DF"/>
    <w:rsid w:val="00CB68D0"/>
    <w:rsid w:val="00EE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5EB2F89F</Template>
  <TotalTime>0</TotalTime>
  <Pages>2</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hjeffery</dc:creator>
  <cp:lastModifiedBy>jthompson</cp:lastModifiedBy>
  <cp:revision>2</cp:revision>
  <dcterms:created xsi:type="dcterms:W3CDTF">2018-12-03T16:36:00Z</dcterms:created>
  <dcterms:modified xsi:type="dcterms:W3CDTF">2018-12-03T16:36:00Z</dcterms:modified>
</cp:coreProperties>
</file>